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A62" w:rsidRDefault="00040A62" w:rsidP="00040A62">
      <w:pPr>
        <w:ind w:left="-567" w:right="-341"/>
        <w:jc w:val="left"/>
        <w:rPr>
          <w:rFonts w:ascii="Calibri" w:hAnsi="Calibri"/>
          <w:b/>
          <w:sz w:val="32"/>
          <w:szCs w:val="24"/>
          <w:lang w:val="en-GB"/>
        </w:rPr>
      </w:pPr>
      <w:r>
        <w:rPr>
          <w:rFonts w:ascii="Times New Roman" w:hAnsi="Times New Roman"/>
          <w:noProof/>
          <w:sz w:val="24"/>
          <w:szCs w:val="24"/>
          <w:lang w:val="el-GR" w:eastAsia="el-GR"/>
        </w:rPr>
        <w:drawing>
          <wp:inline distT="0" distB="0" distL="0" distR="0" wp14:anchorId="00E4BEC0" wp14:editId="62768DD6">
            <wp:extent cx="2105025" cy="621091"/>
            <wp:effectExtent l="0" t="0" r="0" b="762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ETA  LOGO gr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123" cy="634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A62" w:rsidRDefault="00040A62" w:rsidP="00040A62">
      <w:pPr>
        <w:ind w:left="-567" w:right="-341"/>
        <w:jc w:val="center"/>
        <w:rPr>
          <w:rFonts w:ascii="Calibri" w:hAnsi="Calibri"/>
          <w:b/>
          <w:sz w:val="32"/>
          <w:szCs w:val="24"/>
          <w:lang w:val="en-GB"/>
        </w:rPr>
      </w:pPr>
    </w:p>
    <w:p w:rsidR="00040A62" w:rsidRDefault="00040A62" w:rsidP="00040A62">
      <w:pPr>
        <w:ind w:left="-567" w:right="-341"/>
        <w:jc w:val="center"/>
        <w:rPr>
          <w:rFonts w:ascii="Calibri" w:hAnsi="Calibri"/>
          <w:b/>
          <w:sz w:val="32"/>
          <w:szCs w:val="24"/>
          <w:lang w:val="en-GB"/>
        </w:rPr>
      </w:pPr>
    </w:p>
    <w:p w:rsidR="00040A62" w:rsidRPr="00CC3DE9" w:rsidRDefault="00040A62" w:rsidP="00040A62">
      <w:pPr>
        <w:ind w:left="-567" w:right="-341"/>
        <w:jc w:val="center"/>
        <w:rPr>
          <w:rFonts w:ascii="Calibri" w:hAnsi="Calibri"/>
          <w:b/>
          <w:sz w:val="32"/>
          <w:szCs w:val="24"/>
          <w:lang w:val="en-GB"/>
        </w:rPr>
      </w:pPr>
      <w:r w:rsidRPr="00CC3DE9">
        <w:rPr>
          <w:rFonts w:ascii="Calibri" w:hAnsi="Calibri"/>
          <w:b/>
          <w:sz w:val="32"/>
          <w:szCs w:val="24"/>
          <w:lang w:val="en-GB"/>
        </w:rPr>
        <w:t>Press Release</w:t>
      </w:r>
    </w:p>
    <w:p w:rsidR="00040A62" w:rsidRPr="00CC3DE9" w:rsidRDefault="00040A62" w:rsidP="00040A62">
      <w:pPr>
        <w:ind w:left="-567" w:right="-341"/>
        <w:jc w:val="center"/>
        <w:rPr>
          <w:rFonts w:ascii="Calibri" w:hAnsi="Calibri"/>
          <w:sz w:val="24"/>
          <w:szCs w:val="24"/>
          <w:lang w:val="en-GB"/>
        </w:rPr>
      </w:pPr>
    </w:p>
    <w:p w:rsidR="00040A62" w:rsidRPr="00CC3DE9" w:rsidRDefault="00040A62" w:rsidP="00040A62">
      <w:pPr>
        <w:ind w:left="-567" w:right="-341"/>
        <w:jc w:val="right"/>
        <w:rPr>
          <w:rFonts w:ascii="Calibri" w:hAnsi="Calibri"/>
          <w:sz w:val="24"/>
          <w:szCs w:val="24"/>
          <w:lang w:val="en-GB"/>
        </w:rPr>
      </w:pPr>
      <w:r w:rsidRPr="00CC3DE9">
        <w:rPr>
          <w:rFonts w:ascii="Calibri" w:hAnsi="Calibri"/>
          <w:sz w:val="24"/>
          <w:szCs w:val="24"/>
          <w:lang w:val="en-GB"/>
        </w:rPr>
        <w:t xml:space="preserve"> </w:t>
      </w:r>
      <w:r>
        <w:rPr>
          <w:rFonts w:ascii="Calibri" w:hAnsi="Calibri"/>
          <w:sz w:val="24"/>
          <w:szCs w:val="24"/>
          <w:lang w:val="en-GB"/>
        </w:rPr>
        <w:t>Thessaloniki, 25.</w:t>
      </w:r>
      <w:r>
        <w:rPr>
          <w:rFonts w:ascii="Calibri" w:hAnsi="Calibri"/>
          <w:sz w:val="24"/>
          <w:szCs w:val="24"/>
          <w:lang w:val="en-GB"/>
        </w:rPr>
        <w:t>4.2023</w:t>
      </w:r>
    </w:p>
    <w:p w:rsidR="00040A62" w:rsidRPr="00CC3DE9" w:rsidRDefault="00040A62" w:rsidP="00040A62">
      <w:pPr>
        <w:ind w:left="-567" w:right="-341"/>
        <w:rPr>
          <w:rFonts w:ascii="Calibri" w:hAnsi="Calibri"/>
          <w:sz w:val="24"/>
          <w:szCs w:val="24"/>
          <w:lang w:val="en-GB"/>
        </w:rPr>
      </w:pPr>
    </w:p>
    <w:p w:rsidR="00040A62" w:rsidRPr="00CC3DE9" w:rsidRDefault="00040A62" w:rsidP="00040A62">
      <w:pPr>
        <w:ind w:left="-567" w:right="-341"/>
        <w:rPr>
          <w:rFonts w:ascii="Calibri" w:hAnsi="Calibri"/>
          <w:sz w:val="32"/>
          <w:szCs w:val="24"/>
          <w:lang w:val="en-GB"/>
        </w:rPr>
      </w:pPr>
    </w:p>
    <w:p w:rsidR="00040A62" w:rsidRPr="00CC3DE9" w:rsidRDefault="000C1971" w:rsidP="00040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-567" w:right="-341"/>
        <w:jc w:val="center"/>
        <w:rPr>
          <w:rFonts w:ascii="Calibri" w:hAnsi="Calibri"/>
          <w:b/>
          <w:sz w:val="26"/>
          <w:szCs w:val="26"/>
          <w:lang w:val="en-GB"/>
        </w:rPr>
      </w:pPr>
      <w:r>
        <w:rPr>
          <w:rFonts w:ascii="Calibri" w:hAnsi="Calibri"/>
          <w:b/>
          <w:sz w:val="26"/>
          <w:szCs w:val="26"/>
          <w:lang w:val="en-GB"/>
        </w:rPr>
        <w:t>Novel chemical inhibitors of SARS CoV-2 virus</w:t>
      </w:r>
    </w:p>
    <w:p w:rsidR="00040A62" w:rsidRDefault="00040A62" w:rsidP="00040A62">
      <w:pPr>
        <w:ind w:left="-567" w:right="-341"/>
        <w:rPr>
          <w:rStyle w:val="hps"/>
          <w:sz w:val="32"/>
          <w:lang w:val="en-GB"/>
        </w:rPr>
      </w:pPr>
    </w:p>
    <w:p w:rsidR="000C1971" w:rsidRPr="00A5185D" w:rsidRDefault="000C1971" w:rsidP="000C1971">
      <w:pPr>
        <w:autoSpaceDE w:val="0"/>
        <w:autoSpaceDN w:val="0"/>
        <w:adjustRightInd w:val="0"/>
        <w:ind w:left="-709" w:right="-483"/>
        <w:rPr>
          <w:szCs w:val="22"/>
        </w:rPr>
      </w:pPr>
      <w:r w:rsidRPr="00A5185D">
        <w:rPr>
          <w:rFonts w:asciiTheme="minorHAnsi" w:hAnsiTheme="minorHAnsi"/>
          <w:szCs w:val="22"/>
        </w:rPr>
        <w:t>Coronavirus disease 2019 (COVID-19) is caused by a new, highly pathogenic severe-acute-respiratory syndrome coronavirus 2 (SARS-CoV-2) which infects human cells through its transmembrane spike (S) glycoprotein.</w:t>
      </w:r>
    </w:p>
    <w:p w:rsidR="000C1971" w:rsidRPr="00A5185D" w:rsidRDefault="000C1971" w:rsidP="000C1971">
      <w:pPr>
        <w:autoSpaceDE w:val="0"/>
        <w:autoSpaceDN w:val="0"/>
        <w:adjustRightInd w:val="0"/>
        <w:ind w:left="-709" w:right="-483"/>
        <w:rPr>
          <w:szCs w:val="22"/>
        </w:rPr>
      </w:pPr>
    </w:p>
    <w:p w:rsidR="000C1971" w:rsidRPr="00A5185D" w:rsidRDefault="000C1971" w:rsidP="000C1971">
      <w:pPr>
        <w:autoSpaceDE w:val="0"/>
        <w:autoSpaceDN w:val="0"/>
        <w:adjustRightInd w:val="0"/>
        <w:ind w:left="-709" w:right="-483"/>
        <w:rPr>
          <w:szCs w:val="22"/>
        </w:rPr>
      </w:pPr>
      <w:r w:rsidRPr="00A5185D">
        <w:rPr>
          <w:rFonts w:asciiTheme="minorHAnsi" w:hAnsiTheme="minorHAnsi"/>
          <w:szCs w:val="22"/>
        </w:rPr>
        <w:t>The receptor-binding domain (RBD) of the S protein interacts with the angiotensin-converting enzyme II (ACE2) receptor of the host cells. Therefore, pharmacological targeting of this interaction might prevent infection or spread of the virus.</w:t>
      </w:r>
    </w:p>
    <w:p w:rsidR="000C1971" w:rsidRPr="00A5185D" w:rsidRDefault="000C1971" w:rsidP="000C1971">
      <w:pPr>
        <w:autoSpaceDE w:val="0"/>
        <w:autoSpaceDN w:val="0"/>
        <w:adjustRightInd w:val="0"/>
        <w:ind w:left="-709" w:right="-483"/>
        <w:rPr>
          <w:szCs w:val="22"/>
        </w:rPr>
      </w:pPr>
    </w:p>
    <w:p w:rsidR="000C1971" w:rsidRPr="00A5185D" w:rsidRDefault="000C1971" w:rsidP="000C1971">
      <w:pPr>
        <w:autoSpaceDE w:val="0"/>
        <w:autoSpaceDN w:val="0"/>
        <w:adjustRightInd w:val="0"/>
        <w:ind w:left="-709" w:right="-483"/>
        <w:rPr>
          <w:b/>
          <w:szCs w:val="22"/>
        </w:rPr>
      </w:pPr>
      <w:r w:rsidRPr="00A5185D">
        <w:rPr>
          <w:rFonts w:asciiTheme="minorHAnsi" w:hAnsiTheme="minorHAnsi"/>
          <w:szCs w:val="22"/>
        </w:rPr>
        <w:t xml:space="preserve">Researchers from the Centre of Research and Technology Hellas (Dr. S. Petrakis, Dr. P. Daras and Dr. K. Stamatopoulos), the National Hellenic Research Foundation (Dr. T. </w:t>
      </w:r>
      <w:proofErr w:type="spellStart"/>
      <w:r w:rsidRPr="00A5185D">
        <w:rPr>
          <w:rFonts w:asciiTheme="minorHAnsi" w:hAnsiTheme="minorHAnsi"/>
          <w:szCs w:val="22"/>
        </w:rPr>
        <w:t>Calogeropoulou</w:t>
      </w:r>
      <w:proofErr w:type="spellEnd"/>
      <w:r w:rsidRPr="00A5185D">
        <w:rPr>
          <w:rFonts w:asciiTheme="minorHAnsi" w:hAnsiTheme="minorHAnsi"/>
          <w:szCs w:val="22"/>
        </w:rPr>
        <w:t xml:space="preserve">, Dr. M. </w:t>
      </w:r>
      <w:proofErr w:type="spellStart"/>
      <w:r w:rsidRPr="00A5185D">
        <w:rPr>
          <w:rFonts w:asciiTheme="minorHAnsi" w:hAnsiTheme="minorHAnsi"/>
          <w:szCs w:val="22"/>
        </w:rPr>
        <w:t>Koufaki</w:t>
      </w:r>
      <w:proofErr w:type="spellEnd"/>
      <w:r w:rsidRPr="00A5185D">
        <w:rPr>
          <w:rFonts w:asciiTheme="minorHAnsi" w:hAnsiTheme="minorHAnsi"/>
          <w:szCs w:val="22"/>
        </w:rPr>
        <w:t xml:space="preserve"> and Dr. D. </w:t>
      </w:r>
      <w:proofErr w:type="spellStart"/>
      <w:r w:rsidRPr="00A5185D">
        <w:rPr>
          <w:rFonts w:asciiTheme="minorHAnsi" w:hAnsiTheme="minorHAnsi"/>
          <w:szCs w:val="22"/>
        </w:rPr>
        <w:t>Papahadjis</w:t>
      </w:r>
      <w:proofErr w:type="spellEnd"/>
      <w:r w:rsidRPr="00A5185D">
        <w:rPr>
          <w:rFonts w:asciiTheme="minorHAnsi" w:hAnsiTheme="minorHAnsi"/>
          <w:szCs w:val="22"/>
        </w:rPr>
        <w:t xml:space="preserve">), the Democritus University of Thrace (Prof. Dr. I. </w:t>
      </w:r>
      <w:proofErr w:type="spellStart"/>
      <w:r w:rsidRPr="00A5185D">
        <w:rPr>
          <w:rFonts w:asciiTheme="minorHAnsi" w:hAnsiTheme="minorHAnsi"/>
          <w:szCs w:val="22"/>
        </w:rPr>
        <w:t>Karakasiliotis</w:t>
      </w:r>
      <w:proofErr w:type="spellEnd"/>
      <w:r w:rsidRPr="00A5185D">
        <w:rPr>
          <w:rFonts w:asciiTheme="minorHAnsi" w:hAnsiTheme="minorHAnsi"/>
          <w:szCs w:val="22"/>
        </w:rPr>
        <w:t xml:space="preserve">) and the National and </w:t>
      </w:r>
      <w:proofErr w:type="spellStart"/>
      <w:r w:rsidRPr="00A5185D">
        <w:rPr>
          <w:rFonts w:asciiTheme="minorHAnsi" w:hAnsiTheme="minorHAnsi"/>
          <w:szCs w:val="22"/>
        </w:rPr>
        <w:t>Kapodistrian</w:t>
      </w:r>
      <w:proofErr w:type="spellEnd"/>
      <w:r w:rsidRPr="00A5185D">
        <w:rPr>
          <w:rFonts w:asciiTheme="minorHAnsi" w:hAnsiTheme="minorHAnsi"/>
          <w:szCs w:val="22"/>
        </w:rPr>
        <w:t xml:space="preserve"> University of Athens (Prof. Dr. V. </w:t>
      </w:r>
      <w:proofErr w:type="spellStart"/>
      <w:r w:rsidRPr="00A5185D">
        <w:rPr>
          <w:rFonts w:asciiTheme="minorHAnsi" w:hAnsiTheme="minorHAnsi"/>
          <w:szCs w:val="22"/>
        </w:rPr>
        <w:t>Gorgoulis</w:t>
      </w:r>
      <w:proofErr w:type="spellEnd"/>
      <w:r w:rsidRPr="00A5185D">
        <w:rPr>
          <w:rFonts w:asciiTheme="minorHAnsi" w:hAnsiTheme="minorHAnsi"/>
          <w:b/>
          <w:szCs w:val="22"/>
        </w:rPr>
        <w:t>) identified novel chemical inhibitors of SARS-CoV-2.</w:t>
      </w:r>
    </w:p>
    <w:p w:rsidR="000C1971" w:rsidRPr="00A5185D" w:rsidRDefault="000C1971" w:rsidP="000C1971">
      <w:pPr>
        <w:autoSpaceDE w:val="0"/>
        <w:autoSpaceDN w:val="0"/>
        <w:adjustRightInd w:val="0"/>
        <w:ind w:left="-709" w:right="-483"/>
        <w:rPr>
          <w:szCs w:val="22"/>
        </w:rPr>
      </w:pPr>
      <w:r w:rsidRPr="00A5185D">
        <w:rPr>
          <w:rFonts w:asciiTheme="minorHAnsi" w:hAnsiTheme="minorHAnsi"/>
          <w:szCs w:val="22"/>
        </w:rPr>
        <w:t xml:space="preserve"> </w:t>
      </w:r>
    </w:p>
    <w:p w:rsidR="000C1971" w:rsidRPr="00A5185D" w:rsidRDefault="000C1971" w:rsidP="000C1971">
      <w:pPr>
        <w:autoSpaceDE w:val="0"/>
        <w:autoSpaceDN w:val="0"/>
        <w:adjustRightInd w:val="0"/>
        <w:ind w:left="-709" w:right="-483"/>
        <w:rPr>
          <w:rFonts w:asciiTheme="minorHAnsi" w:hAnsiTheme="minorHAnsi"/>
          <w:szCs w:val="22"/>
        </w:rPr>
      </w:pPr>
      <w:r w:rsidRPr="00A5185D">
        <w:rPr>
          <w:rFonts w:asciiTheme="minorHAnsi" w:hAnsiTheme="minorHAnsi"/>
          <w:szCs w:val="22"/>
        </w:rPr>
        <w:t xml:space="preserve">The researchers performed a virtual screening for the identification of small molecules against S-ACE2 interaction and validated their effect using cell-based assays. </w:t>
      </w:r>
      <w:r w:rsidRPr="00A5185D">
        <w:rPr>
          <w:rFonts w:asciiTheme="minorHAnsi" w:hAnsiTheme="minorHAnsi"/>
          <w:b/>
          <w:szCs w:val="22"/>
        </w:rPr>
        <w:t>Two molecules strongly prevented infection from SARS-CoV-2 suggesting that they effectively suppress S-ACE2 interaction.</w:t>
      </w:r>
      <w:r w:rsidRPr="00A5185D">
        <w:rPr>
          <w:rFonts w:asciiTheme="minorHAnsi" w:hAnsiTheme="minorHAnsi"/>
          <w:szCs w:val="22"/>
        </w:rPr>
        <w:t xml:space="preserve"> These chemical compounds will be used for the development of novel antivirals against SARS-CoV-2 or other viruses which enter human cells through the ACE2 receptor.</w:t>
      </w:r>
    </w:p>
    <w:p w:rsidR="009215C1" w:rsidRPr="000C1971" w:rsidRDefault="009215C1">
      <w:bookmarkStart w:id="0" w:name="_GoBack"/>
      <w:bookmarkEnd w:id="0"/>
    </w:p>
    <w:sectPr w:rsidR="009215C1" w:rsidRPr="000C19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62"/>
    <w:rsid w:val="00040A62"/>
    <w:rsid w:val="000C1971"/>
    <w:rsid w:val="001933CF"/>
    <w:rsid w:val="009215C1"/>
    <w:rsid w:val="00A5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A4672-FD8A-4382-89F9-2DD56294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A62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rsid w:val="00040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amelidr</dc:creator>
  <cp:keywords/>
  <dc:description/>
  <cp:lastModifiedBy>amelidr</cp:lastModifiedBy>
  <cp:revision>7</cp:revision>
  <dcterms:created xsi:type="dcterms:W3CDTF">2023-04-25T08:40:00Z</dcterms:created>
  <dcterms:modified xsi:type="dcterms:W3CDTF">2023-04-25T08:44:00Z</dcterms:modified>
</cp:coreProperties>
</file>